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3000"/>
      </w:pPr>
    </w:p>
    <w:p>
      <w:pPr>
        <w:spacing w:after="200"/>
        <w:jc w:val="center"/>
      </w:pPr>
      <w:r>
        <w:rPr>
          <w:rFonts w:ascii="Arial" w:cs="Arial" w:eastAsia="Arial" w:hAnsi="Arial"/>
          <w:b/>
          <w:bCs/>
          <w:color w:val="1B5E20"/>
          <w:sz w:val="72"/>
          <w:szCs w:val="72"/>
        </w:rPr>
        <w:t xml:space="preserve">DEMETER</w:t>
      </w:r>
    </w:p>
    <w:p>
      <w:pPr>
        <w:spacing w:after="400"/>
        <w:jc w:val="center"/>
      </w:pPr>
      <w:r>
        <w:rPr>
          <w:rFonts w:ascii="Arial" w:cs="Arial" w:eastAsia="Arial" w:hAnsi="Arial"/>
          <w:color w:val="2E7D32"/>
          <w:sz w:val="32"/>
          <w:szCs w:val="32"/>
        </w:rPr>
        <w:t xml:space="preserve">IoT Plant &amp; Aquarium Management System</w:t>
      </w:r>
    </w:p>
    <w:p>
      <w:pPr>
        <w:pBdr>
          <w:top w:val="single" w:color="4CAF50" w:sz="6" w:space="1"/>
        </w:pBdr>
        <w:spacing w:after="200" w:before="200"/>
        <w:jc w:val="center"/>
      </w:pPr>
    </w:p>
    <w:p>
      <w:pPr>
        <w:spacing w:after="100"/>
        <w:jc w:val="center"/>
      </w:pPr>
      <w:r>
        <w:rPr>
          <w:rFonts w:ascii="Arial" w:cs="Arial" w:eastAsia="Arial" w:hAnsi="Arial"/>
          <w:color w:val="616161"/>
          <w:sz w:val="28"/>
          <w:szCs w:val="28"/>
        </w:rPr>
        <w:t xml:space="preserve">Architecture &amp; Proof of Concept Design</w:t>
      </w:r>
    </w:p>
    <w:p>
      <w:pPr>
        <w:spacing w:after="100"/>
        <w:jc w:val="center"/>
      </w:pPr>
      <w:r>
        <w:rPr>
          <w:rFonts w:ascii="Arial" w:cs="Arial" w:eastAsia="Arial" w:hAnsi="Arial"/>
          <w:color w:val="616161"/>
          <w:sz w:val="22"/>
          <w:szCs w:val="22"/>
        </w:rPr>
        <w:t xml:space="preserve">Version 1.0</w:t>
      </w:r>
    </w:p>
    <w:p>
      <w:pPr>
        <w:jc w:val="center"/>
      </w:pPr>
      <w:r>
        <w:rPr>
          <w:rFonts w:ascii="Arial" w:cs="Arial" w:eastAsia="Arial" w:hAnsi="Arial"/>
          <w:color w:val="616161"/>
          <w:sz w:val="22"/>
          <w:szCs w:val="22"/>
        </w:rPr>
        <w:t xml:space="preserve">March 2026</w:t>
      </w:r>
    </w:p>
    <w:p>
      <w:r>
        <w:br w:type="page"/>
      </w:r>
    </w:p>
    <w:p>
      <w:pPr>
        <w:sectPr>
          <w:pgSz w:w="12240" w:h="15840" w:orient="portrait"/>
          <w:pgMar w:top="1440" w:right="1440" w:bottom="1440" w:left="1440" w:header="708" w:footer="708" w:gutter="0"/>
          <w:pgNumType/>
          <w:docGrid w:linePitch="360"/>
        </w:sectPr>
      </w:pPr>
    </w:p>
    <w:p>
      <w:pPr>
        <w:pStyle w:val="Heading1"/>
      </w:pPr>
      <w:r>
        <w:t xml:space="preserve">Table of Contents</w:t>
      </w:r>
    </w:p>
    <w:sdt>
      <w:sdtPr>
        <w:alias w:val="Table of Contents"/>
      </w:sdtPr>
      <w:sdtContent>
        <w:p>
          <w:r>
            <w:fldChar w:fldCharType="begin" w:dirty="true"/>
            <w:instrText xml:space="preserve">TOC \h \o "1-3"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pStyle w:val="Heading1"/>
      </w:pPr>
      <w:r>
        <w:t xml:space="preserve">1. Executive Summary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Demeter is an IoT monitoring and management system designed for plant care and aquarium maintenance. The system uses ESP microcontrollers (ESP8266/ESP32) running MicroPython as sensor endpoints, communicating via the Constrained Application Protocol (CoAP, RFC 7252) over encrypted WiFi on a local area network.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A central management server built on FastAPI collects sensor telemetry, hosts a real-time dashboard, and exposes metrics for Prometheus scraping. AlertManager provides configurable alarms (soil moisture thresholds, aquarium temperature ranges) with email notifications. Grafana provides historical visualization, and Loki aggregates system logs.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The proof of concept focuses on establishing reliable CoAP communication including the Observe extension (RFC 7641) for event-driven notifications, demonstrating the full data pipeline from sensor to dashboard.</w:t>
      </w:r>
    </w:p>
    <w:p>
      <w:pPr>
        <w:pStyle w:val="Heading1"/>
      </w:pPr>
      <w:r>
        <w:t xml:space="preserve">2. System Overview</w:t>
      </w:r>
    </w:p>
    <w:p>
      <w:pPr>
        <w:pStyle w:val="Heading2"/>
      </w:pPr>
      <w:r>
        <w:t xml:space="preserve">2.1 Design Principles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Lightweight protocol: CoAP is purpose-built for constrained devices, using UDP with minimal overhead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Battery awareness: CoAP Non-Confirmable messages and Observe reduce radio-on time for battery-operated sensors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LAN simplicity: All components reside on the same encrypted WiFi network; DTLS deferred to post-POC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Observable events: Digital input changes push immediately via CoAP Observe, enabling real-time alerting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Standards-based observability: Prometheus metrics, Grafana dashboards, Loki logging, AlertManager notifications</w:t>
      </w:r>
    </w:p>
    <w:p>
      <w:pPr>
        <w:pStyle w:val="Heading2"/>
      </w:pPr>
      <w:r>
        <w:t xml:space="preserve">2.2 High-Level Architecture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The system follows a hub-and-spoke topology where ESP sensor nodes act as CoAP servers exposing observable resources, and the Demeter management server acts as a CoAP client observing those resources.</w:t>
      </w:r>
    </w:p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4CAF50" w:sz="2"/>
              <w:left w:val="single" w:color="4CAF50" w:sz="2"/>
              <w:bottom w:val="single" w:color="4CAF50" w:sz="2"/>
              <w:right w:val="single" w:color="4CAF50" w:sz="2"/>
            </w:tcBorders>
            <w:shd w:fill="E8F5E9" w:val="clear"/>
            <w:tcMar>
              <w:top w:type="dxa" w:w="200"/>
              <w:left w:type="dxa" w:w="200"/>
              <w:bottom w:type="dxa" w:w="200"/>
              <w:right w:type="dxa" w:w="200"/>
            </w:tcMar>
          </w:tcPr>
          <w:p>
            <w:pPr>
              <w:spacing w:after="120"/>
              <w:jc w:val="center"/>
            </w:pPr>
            <w:r>
              <w:rPr>
                <w:rFonts w:ascii="Courier New" w:cs="Courier New" w:eastAsia="Courier New" w:hAnsi="Courier New"/>
                <w:b/>
                <w:bCs/>
                <w:color w:val="1B5E20"/>
                <w:sz w:val="20"/>
                <w:szCs w:val="20"/>
              </w:rPr>
              <w:t xml:space="preserve">ESP Sensor Nodes (CoAP Servers)</w:t>
            </w:r>
          </w:p>
          <w:p>
            <w:pPr>
              <w:spacing w:after="60"/>
              <w:jc w:val="center"/>
            </w:pPr>
            <w:r>
              <w:rPr>
                <w:rFonts w:ascii="Courier New" w:cs="Courier New" w:eastAsia="Courier New" w:hAnsi="Courier New"/>
                <w:color w:val="616161"/>
                <w:sz w:val="18"/>
                <w:szCs w:val="18"/>
              </w:rPr>
              <w:t xml:space="preserve">/sensors/soil_moisture  /sensors/temperature  /events/trigger</w:t>
            </w:r>
          </w:p>
          <w:p>
            <w:pPr>
              <w:spacing w:after="200"/>
              <w:jc w:val="center"/>
            </w:pPr>
            <w:r>
              <w:rPr>
                <w:rFonts w:ascii="Courier New" w:cs="Courier New" w:eastAsia="Courier New" w:hAnsi="Courier New"/>
                <w:color w:val="4CAF50"/>
                <w:sz w:val="18"/>
                <w:szCs w:val="18"/>
              </w:rPr>
              <w:t xml:space="preserve">│  CoAP Observe (UDP :5683)  │</w:t>
            </w:r>
          </w:p>
          <w:p>
            <w:pPr>
              <w:spacing w:after="120"/>
              <w:jc w:val="center"/>
            </w:pPr>
            <w:r>
              <w:rPr>
                <w:rFonts w:ascii="Arial" w:cs="Arial" w:eastAsia="Arial" w:hAnsi="Arial"/>
                <w:color w:val="4CAF50"/>
                <w:sz w:val="28"/>
                <w:szCs w:val="28"/>
              </w:rPr>
              <w:t xml:space="preserve">▼</w:t>
            </w:r>
          </w:p>
          <w:p>
            <w:pPr>
              <w:spacing w:after="120"/>
              <w:jc w:val="center"/>
            </w:pPr>
            <w:r>
              <w:rPr>
                <w:rFonts w:ascii="Courier New" w:cs="Courier New" w:eastAsia="Courier New" w:hAnsi="Courier New"/>
                <w:b/>
                <w:bCs/>
                <w:color w:val="1B5E20"/>
                <w:sz w:val="20"/>
                <w:szCs w:val="20"/>
              </w:rPr>
              <w:t xml:space="preserve">Demeter Server (CoAP Client + FastAPI)</w:t>
            </w:r>
          </w:p>
          <w:p>
            <w:pPr>
              <w:spacing w:after="60"/>
              <w:jc w:val="center"/>
            </w:pPr>
            <w:r>
              <w:rPr>
                <w:rFonts w:ascii="Courier New" w:cs="Courier New" w:eastAsia="Courier New" w:hAnsi="Courier New"/>
                <w:color w:val="616161"/>
                <w:sz w:val="18"/>
                <w:szCs w:val="18"/>
              </w:rPr>
              <w:t xml:space="preserve">aiocoap Observer  →  In-Memory Store  →  FastAPI /api + /metrics</w:t>
            </w:r>
          </w:p>
          <w:p>
            <w:pPr>
              <w:spacing w:after="200"/>
              <w:jc w:val="center"/>
            </w:pPr>
            <w:r>
              <w:rPr>
                <w:rFonts w:ascii="Courier New" w:cs="Courier New" w:eastAsia="Courier New" w:hAnsi="Courier New"/>
                <w:color w:val="4CAF50"/>
                <w:sz w:val="18"/>
                <w:szCs w:val="18"/>
              </w:rPr>
              <w:t xml:space="preserve">│  HTTP Scrape :9090  │  HTTP :3000  │  HTTP :3100  │</w:t>
            </w:r>
          </w:p>
          <w:p>
            <w:pPr>
              <w:spacing w:after="120"/>
              <w:jc w:val="center"/>
            </w:pPr>
            <w:r>
              <w:rPr>
                <w:rFonts w:ascii="Arial" w:cs="Arial" w:eastAsia="Arial" w:hAnsi="Arial"/>
                <w:color w:val="4CAF50"/>
                <w:sz w:val="28"/>
                <w:szCs w:val="28"/>
              </w:rPr>
              <w:t xml:space="preserve">▼</w:t>
            </w:r>
          </w:p>
          <w:p>
            <w:pPr>
              <w:spacing w:after="60"/>
              <w:jc w:val="center"/>
            </w:pPr>
            <w:r>
              <w:rPr>
                <w:rFonts w:ascii="Courier New" w:cs="Courier New" w:eastAsia="Courier New" w:hAnsi="Courier New"/>
                <w:b/>
                <w:bCs/>
                <w:color w:val="1B5E20"/>
                <w:sz w:val="20"/>
                <w:szCs w:val="20"/>
              </w:rPr>
              <w:t xml:space="preserve">Prometheus  +  AlertManager  |  Grafana  |  Loki</w:t>
            </w:r>
          </w:p>
        </w:tc>
      </w:tr>
    </w:tbl>
    <w:p>
      <w:pPr>
        <w:spacing w:after="200"/>
      </w:pPr>
    </w:p>
    <w:p>
      <w:pPr>
        <w:pStyle w:val="Heading1"/>
      </w:pPr>
      <w:r>
        <w:t xml:space="preserve">3. Component Design</w:t>
      </w:r>
    </w:p>
    <w:p>
      <w:pPr>
        <w:pStyle w:val="Heading2"/>
      </w:pPr>
      <w:r>
        <w:t xml:space="preserve">3.1 ESP Sensor Nodes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Each ESP microcontroller runs MicroPython with an extended version of the microCoAPy library that adds CoAP Observe (RFC 7641) support. The node acts as a CoAP server, exposing sensor readings as observable resources.</w:t>
      </w:r>
    </w:p>
    <w:p>
      <w:pPr>
        <w:pStyle w:val="Heading3"/>
      </w:pPr>
      <w:r>
        <w:t xml:space="preserve">3.1.1 Hardware Configuration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2200"/>
        <w:gridCol w:w="2200"/>
        <w:gridCol w:w="2760"/>
      </w:tblGrid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Sensor Type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GPIO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Protocol</w:t>
            </w:r>
          </w:p>
        </w:tc>
        <w:tc>
          <w:tcPr>
            <w:tcW w:type="dxa" w:w="27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CoAP Resource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Soil Moisture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ADC (A0 / GPIO36)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Analog</w:t>
            </w:r>
          </w:p>
        </w:tc>
        <w:tc>
          <w:tcPr>
            <w:tcW w:type="dxa" w:w="27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/sensors/soil_moisture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Temperature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GPIO4 (OneWire)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DS18B20</w:t>
            </w:r>
          </w:p>
        </w:tc>
        <w:tc>
          <w:tcPr>
            <w:tcW w:type="dxa" w:w="27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/sensors/temperature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Digital Input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GPIO5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Digital / IRQ</w:t>
            </w:r>
          </w:p>
        </w:tc>
        <w:tc>
          <w:tcPr>
            <w:tcW w:type="dxa" w:w="27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/events/trigger</w:t>
            </w:r>
          </w:p>
        </w:tc>
      </w:tr>
    </w:tbl>
    <w:p>
      <w:pPr>
        <w:spacing w:after="160"/>
      </w:pPr>
    </w:p>
    <w:p>
      <w:pPr>
        <w:pStyle w:val="Heading3"/>
      </w:pPr>
      <w:r>
        <w:t xml:space="preserve">3.1.2 CoAP Observe Extension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The CoAP Observe extension (RFC 7641) allows the Demeter server to register interest in a resource and receive notifications when its state changes. This is critical for two scenarios: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Periodic telemetry: Soil moisture and temperature readings are pushed at configurable intervals (e.g., every 60 seconds) without the server polling each device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Event-driven notifications: Digital input changes (e.g., a float switch, door sensor, or motion detector) trigger immediate notification to all registered observers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The Observe implementation adds Option Number 6 to microCoAPy. When a client sends a GET with Observe: 0, the server registers the observer. Subsequent state changes generate notifications with incrementing sequence numbers. The server deregisters observers on Observe: 1 or RST response.</w:t>
      </w:r>
    </w:p>
    <w:p>
      <w:pPr>
        <w:pStyle w:val="Heading3"/>
      </w:pPr>
      <w:r>
        <w:t xml:space="preserve">3.1.3 Battery Optimization Strategy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Non-Confirmable (NON) messages for periodic telemetry reduce retransmission overhead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Configurable deep-sleep intervals between readings conserve battery on ESP32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Observe notifications only fire on meaningful state changes (configurable delta thresholds)</w:t>
      </w:r>
    </w:p>
    <w:p>
      <w:pPr>
        <w:pStyle w:val="ListParagraph"/>
        <w:numPr>
          <w:ilvl w:val="0"/>
          <w:numId w:val="4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WiFi power management: light-sleep between transmissions on battery-operated nodes</w:t>
      </w:r>
    </w:p>
    <w:p>
      <w:pPr>
        <w:pStyle w:val="Heading2"/>
      </w:pPr>
      <w:r>
        <w:t xml:space="preserve">3.2 Demeter Management Server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The server is a Python application combining aiocoap (CoAP client with Observe) and FastAPI (HTTP API, dashboard, and metrics). Both frameworks are asyncio-native, sharing a single event loop.</w:t>
      </w:r>
    </w:p>
    <w:p>
      <w:pPr>
        <w:pStyle w:val="Heading3"/>
      </w:pPr>
      <w:r>
        <w:t xml:space="preserve">3.2.1 Server Components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000"/>
        <w:gridCol w:w="4160"/>
      </w:tblGrid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Component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Technology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Purpose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CoAP Client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aiocoap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Observe ESP resources, collect telemetry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HTTP API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FastAPI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REST endpoints for dashboard, device management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Metrics Export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prometheus_client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Expose /metrics in Prometheus exposition format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Logging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python-logging-loki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Structured logging to Loki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Data Store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In-memory (POC)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Latest readings per device/resource</w:t>
            </w:r>
          </w:p>
        </w:tc>
      </w:tr>
    </w:tbl>
    <w:p>
      <w:pPr>
        <w:spacing w:after="160"/>
      </w:pPr>
    </w:p>
    <w:p>
      <w:pPr>
        <w:pStyle w:val="Heading3"/>
      </w:pPr>
      <w:r>
        <w:t xml:space="preserve">3.2.2 Device Discovery &amp; Registration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For the POC, devices are statically configured in a YAML file mapping device IPs to names and resource paths. Post-POC, CoAP resource discovery (/.well-known/core, RFC 6690) will enable automatic device enrollment.</w:t>
      </w:r>
    </w:p>
    <w:p>
      <w:pPr>
        <w:pStyle w:val="Heading2"/>
      </w:pPr>
      <w:r>
        <w:t xml:space="preserve">3.3 Observability Stack</w:t>
      </w:r>
    </w:p>
    <w:p>
      <w:pPr>
        <w:pStyle w:val="Heading3"/>
      </w:pPr>
      <w:r>
        <w:t xml:space="preserve">3.3.1 Metrics Pipeline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The Demeter server exposes a /metrics endpoint using the prometheus_client library. Each sensor reading is represented as a Prometheus gauge labeled by device name, sensor type, and resource path. Prometheus scrapes this endpoint at a configurable interval (default 15s).</w:t>
      </w:r>
    </w:p>
    <w:p>
      <w:pPr>
        <w:pStyle w:val="Heading3"/>
      </w:pPr>
      <w:r>
        <w:t xml:space="preserve">3.3.2 Alerting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AlertManager rules are defined for critical thresholds:</w:t>
      </w:r>
    </w:p>
    <w:p>
      <w:pPr>
        <w:pStyle w:val="ListParagraph"/>
        <w:numPr>
          <w:ilvl w:val="0"/>
          <w:numId w:val="5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Soil moisture below configurable minimum (plant too dry)</w:t>
      </w:r>
    </w:p>
    <w:p>
      <w:pPr>
        <w:pStyle w:val="ListParagraph"/>
        <w:numPr>
          <w:ilvl w:val="0"/>
          <w:numId w:val="5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Soil moisture above configurable maximum (overwatering)</w:t>
      </w:r>
    </w:p>
    <w:p>
      <w:pPr>
        <w:pStyle w:val="ListParagraph"/>
        <w:numPr>
          <w:ilvl w:val="0"/>
          <w:numId w:val="5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Aquarium temperature outside safe range (e.g., 24–28°C for tropical fish)</w:t>
      </w:r>
    </w:p>
    <w:p>
      <w:pPr>
        <w:pStyle w:val="ListParagraph"/>
        <w:numPr>
          <w:ilvl w:val="0"/>
          <w:numId w:val="5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Device heartbeat timeout (sensor offline)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Alerts route to email via AlertManager SMTP configuration.</w:t>
      </w:r>
    </w:p>
    <w:p>
      <w:pPr>
        <w:pStyle w:val="Heading3"/>
      </w:pPr>
      <w:r>
        <w:t xml:space="preserve">3.3.3 Visualization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Grafana connects to Prometheus as a data source and displays dashboards for real-time and historical sensor data. Loki provides a log exploration panel for debugging device communication issues.</w:t>
      </w:r>
    </w:p>
    <w:p>
      <w:r>
        <w:br w:type="page"/>
      </w:r>
    </w:p>
    <w:p>
      <w:pPr>
        <w:pStyle w:val="Heading1"/>
      </w:pPr>
      <w:r>
        <w:t xml:space="preserve">4. Protocol Details</w:t>
      </w:r>
    </w:p>
    <w:p>
      <w:pPr>
        <w:pStyle w:val="Heading2"/>
      </w:pPr>
      <w:r>
        <w:t xml:space="preserve">4.1 CoAP Message Flow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The following describes the message exchange between the Demeter server (client) and an ESP sensor node (server) for an Observe registration and subsequent notifications.</w:t>
      </w:r>
    </w:p>
    <w:p>
      <w:pPr>
        <w:pStyle w:val="Heading3"/>
      </w:pPr>
      <w:r>
        <w:t xml:space="preserve">4.1.1 Observe Registration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3280"/>
        <w:gridCol w:w="1000"/>
        <w:gridCol w:w="3280"/>
        <w:gridCol w:w="1000"/>
      </w:tblGrid>
      <w:tr>
        <w:tc>
          <w:tcPr>
            <w:tcW w:type="dxa" w:w="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Step</w:t>
            </w:r>
          </w:p>
        </w:tc>
        <w:tc>
          <w:tcPr>
            <w:tcW w:type="dxa" w:w="328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Demeter (Client)</w:t>
            </w:r>
          </w:p>
        </w:tc>
        <w:tc>
          <w:tcPr>
            <w:tcW w:type="dxa" w:w="1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Dir</w:t>
            </w:r>
          </w:p>
        </w:tc>
        <w:tc>
          <w:tcPr>
            <w:tcW w:type="dxa" w:w="328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ESP (Server)</w:t>
            </w:r>
          </w:p>
        </w:tc>
        <w:tc>
          <w:tcPr>
            <w:tcW w:type="dxa" w:w="1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</w:tr>
      <w:tr>
        <w:tc>
          <w:tcPr>
            <w:tcW w:type="dxa" w:w="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1</w:t>
            </w:r>
          </w:p>
        </w:tc>
        <w:tc>
          <w:tcPr>
            <w:tcW w:type="dxa" w:w="328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GET /sensors/temperature
Observe: 0, Token: 0xAB</w:t>
            </w:r>
          </w:p>
        </w:tc>
        <w:tc>
          <w:tcPr>
            <w:tcW w:type="dxa" w:w="1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→</w:t>
            </w:r>
          </w:p>
        </w:tc>
        <w:tc>
          <w:tcPr>
            <w:tcW w:type="dxa" w:w="328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/>
            </w:r>
          </w:p>
        </w:tc>
        <w:tc>
          <w:tcPr>
            <w:tcW w:type="dxa" w:w="1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CON</w:t>
            </w:r>
          </w:p>
        </w:tc>
      </w:tr>
      <w:tr>
        <w:tc>
          <w:tcPr>
            <w:tcW w:type="dxa" w:w="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2</w:t>
            </w:r>
          </w:p>
        </w:tc>
        <w:tc>
          <w:tcPr>
            <w:tcW w:type="dxa" w:w="328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/>
            </w:r>
          </w:p>
        </w:tc>
        <w:tc>
          <w:tcPr>
            <w:tcW w:type="dxa" w:w="1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←</w:t>
            </w:r>
          </w:p>
        </w:tc>
        <w:tc>
          <w:tcPr>
            <w:tcW w:type="dxa" w:w="328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2.05 Content, Observe: 1
Payload: 25.3, Token: 0xAB</w:t>
            </w:r>
          </w:p>
        </w:tc>
        <w:tc>
          <w:tcPr>
            <w:tcW w:type="dxa" w:w="1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ACK</w:t>
            </w:r>
          </w:p>
        </w:tc>
      </w:tr>
      <w:tr>
        <w:tc>
          <w:tcPr>
            <w:tcW w:type="dxa" w:w="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3</w:t>
            </w:r>
          </w:p>
        </w:tc>
        <w:tc>
          <w:tcPr>
            <w:tcW w:type="dxa" w:w="328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/>
            </w:r>
          </w:p>
        </w:tc>
        <w:tc>
          <w:tcPr>
            <w:tcW w:type="dxa" w:w="1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←</w:t>
            </w:r>
          </w:p>
        </w:tc>
        <w:tc>
          <w:tcPr>
            <w:tcW w:type="dxa" w:w="328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2.05 Content, Observe: 2
Payload: 25.4, Token: 0xAB</w:t>
            </w:r>
          </w:p>
        </w:tc>
        <w:tc>
          <w:tcPr>
            <w:tcW w:type="dxa" w:w="1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NON</w:t>
            </w:r>
          </w:p>
        </w:tc>
      </w:tr>
      <w:tr>
        <w:tc>
          <w:tcPr>
            <w:tcW w:type="dxa" w:w="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4</w:t>
            </w:r>
          </w:p>
        </w:tc>
        <w:tc>
          <w:tcPr>
            <w:tcW w:type="dxa" w:w="328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/>
            </w:r>
          </w:p>
        </w:tc>
        <w:tc>
          <w:tcPr>
            <w:tcW w:type="dxa" w:w="1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←</w:t>
            </w:r>
          </w:p>
        </w:tc>
        <w:tc>
          <w:tcPr>
            <w:tcW w:type="dxa" w:w="328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2.05 Content, Observe: 3
Payload: 25.5, Token: 0xAB</w:t>
            </w:r>
          </w:p>
        </w:tc>
        <w:tc>
          <w:tcPr>
            <w:tcW w:type="dxa" w:w="1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NON</w:t>
            </w:r>
          </w:p>
        </w:tc>
      </w:tr>
    </w:tbl>
    <w:p>
      <w:pPr>
        <w:spacing w:after="160"/>
      </w:pPr>
    </w:p>
    <w:p>
      <w:pPr>
        <w:pStyle w:val="Heading3"/>
      </w:pPr>
      <w:r>
        <w:t xml:space="preserve">4.1.2 Event-Driven Notification (Digital Input)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When a digital input pin changes state (e.g., GPIO5 rising edge via hardware interrupt), the ESP immediately sends a notification to all registered observers with the new state. This provides sub-second response time for trigger events, unlike polled telemetry.</w:t>
      </w:r>
    </w:p>
    <w:p>
      <w:pPr>
        <w:pStyle w:val="Heading2"/>
      </w:pPr>
      <w:r>
        <w:t xml:space="preserve">4.2 CoAP Resource Model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1200"/>
        <w:gridCol w:w="1200"/>
        <w:gridCol w:w="1200"/>
        <w:gridCol w:w="2960"/>
      </w:tblGrid>
      <w:tr>
        <w:tc>
          <w:tcPr>
            <w:tcW w:type="dxa" w:w="2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Resource URI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Methods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Observe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Format</w:t>
            </w:r>
          </w:p>
        </w:tc>
        <w:tc>
          <w:tcPr>
            <w:tcW w:type="dxa" w:w="29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/sensors/soil_moisture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GET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Yes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JSON</w:t>
            </w:r>
          </w:p>
        </w:tc>
        <w:tc>
          <w:tcPr>
            <w:tcW w:type="dxa" w:w="29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Current soil moisture (0–100%)</w:t>
            </w:r>
          </w:p>
        </w:tc>
      </w:tr>
      <w:tr>
        <w:tc>
          <w:tcPr>
            <w:tcW w:type="dxa" w:w="2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/sensors/temperature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GET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Yes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JSON</w:t>
            </w:r>
          </w:p>
        </w:tc>
        <w:tc>
          <w:tcPr>
            <w:tcW w:type="dxa" w:w="29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Temperature in °C</w:t>
            </w:r>
          </w:p>
        </w:tc>
      </w:tr>
      <w:tr>
        <w:tc>
          <w:tcPr>
            <w:tcW w:type="dxa" w:w="2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/events/trigger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GET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Yes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JSON</w:t>
            </w:r>
          </w:p>
        </w:tc>
        <w:tc>
          <w:tcPr>
            <w:tcW w:type="dxa" w:w="29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Digital input state (0/1)</w:t>
            </w:r>
          </w:p>
        </w:tc>
      </w:tr>
      <w:tr>
        <w:tc>
          <w:tcPr>
            <w:tcW w:type="dxa" w:w="2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/config/interval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GET, PUT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No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JSON</w:t>
            </w:r>
          </w:p>
        </w:tc>
        <w:tc>
          <w:tcPr>
            <w:tcW w:type="dxa" w:w="29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Reporting interval in seconds</w:t>
            </w:r>
          </w:p>
        </w:tc>
      </w:tr>
      <w:tr>
        <w:tc>
          <w:tcPr>
            <w:tcW w:type="dxa" w:w="2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/.well-known/core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GET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No</w:t>
            </w:r>
          </w:p>
        </w:tc>
        <w:tc>
          <w:tcPr>
            <w:tcW w:type="dxa" w:w="1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Link</w:t>
            </w:r>
          </w:p>
        </w:tc>
        <w:tc>
          <w:tcPr>
            <w:tcW w:type="dxa" w:w="29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Resource discovery (post-POC)</w:t>
            </w:r>
          </w:p>
        </w:tc>
      </w:tr>
    </w:tbl>
    <w:p>
      <w:pPr>
        <w:spacing w:after="160"/>
      </w:pPr>
    </w:p>
    <w:p>
      <w:pPr>
        <w:pStyle w:val="Heading2"/>
      </w:pPr>
      <w:r>
        <w:t xml:space="preserve">4.3 Payload Format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All sensor payloads use JSON with Content-Format 50 (application/json):</w:t>
      </w:r>
    </w:p>
    <w:p>
      <w:pPr>
        <w:spacing w:after="160"/>
        <w:ind w:left="720"/>
      </w:pPr>
      <w:r>
        <w:rPr>
          <w:rFonts w:ascii="Courier New" w:cs="Courier New" w:eastAsia="Courier New" w:hAnsi="Courier New"/>
          <w:color w:val="212121"/>
          <w:sz w:val="20"/>
          <w:szCs w:val="20"/>
        </w:rPr>
        <w:t xml:space="preserve">{ "device": "plant-01", "resource": "soil_moisture", "value": 42.5, "unit": "%", "ts": 1709827200 }</w:t>
      </w:r>
    </w:p>
    <w:p>
      <w:r>
        <w:br w:type="page"/>
      </w:r>
    </w:p>
    <w:p>
      <w:pPr>
        <w:pStyle w:val="Heading1"/>
      </w:pPr>
      <w:r>
        <w:t xml:space="preserve">5. Implementation Phases</w:t>
      </w:r>
    </w:p>
    <w:p>
      <w:pPr>
        <w:pStyle w:val="Heading2"/>
      </w:pPr>
      <w:r>
        <w:t xml:space="preserve">5.1 Phase 1 — ESP CoAP Endpoint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12121"/>
          <w:sz w:val="22"/>
          <w:szCs w:val="22"/>
        </w:rPr>
        <w:t xml:space="preserve">Goal: </w:t>
      </w:r>
      <w:r>
        <w:rPr>
          <w:rFonts w:ascii="Arial" w:cs="Arial" w:eastAsia="Arial" w:hAnsi="Arial"/>
          <w:color w:val="212121"/>
          <w:sz w:val="22"/>
          <w:szCs w:val="22"/>
        </w:rPr>
        <w:t xml:space="preserve">Functional ESP sensor node with CoAP server and Observe support.</w:t>
      </w:r>
    </w:p>
    <w:p>
      <w:pPr>
        <w:pStyle w:val="ListParagraph"/>
        <w:numPr>
          <w:ilvl w:val="0"/>
          <w:numId w:val="6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Extend microCoAPy with Observe option (Option Number 6) — observer registration, notification dispatch, and deregistration</w:t>
      </w:r>
    </w:p>
    <w:p>
      <w:pPr>
        <w:pStyle w:val="ListParagraph"/>
        <w:numPr>
          <w:ilvl w:val="0"/>
          <w:numId w:val="6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Implement sensor resource handlers for soil moisture (ADC), temperature (DS18B20), and digital input (GPIO with IRQ)</w:t>
      </w:r>
    </w:p>
    <w:p>
      <w:pPr>
        <w:pStyle w:val="ListParagraph"/>
        <w:numPr>
          <w:ilvl w:val="0"/>
          <w:numId w:val="6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Add periodic notification loop for telemetry resources and interrupt-driven notifications for digital input</w:t>
      </w:r>
    </w:p>
    <w:p>
      <w:pPr>
        <w:pStyle w:val="ListParagraph"/>
        <w:numPr>
          <w:ilvl w:val="0"/>
          <w:numId w:val="6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Test with coap-client (libcoap) or aiocoap CLI to validate Observe flow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12121"/>
          <w:sz w:val="22"/>
          <w:szCs w:val="22"/>
        </w:rPr>
        <w:t xml:space="preserve">Deliverables: </w:t>
      </w:r>
      <w:r>
        <w:rPr>
          <w:rFonts w:ascii="Arial" w:cs="Arial" w:eastAsia="Arial" w:hAnsi="Arial"/>
          <w:color w:val="212121"/>
          <w:sz w:val="22"/>
          <w:szCs w:val="22"/>
        </w:rPr>
        <w:t xml:space="preserve">Extended microCoAPy library, ESP sensor firmware, test scripts.</w:t>
      </w:r>
    </w:p>
    <w:p>
      <w:pPr>
        <w:pStyle w:val="Heading2"/>
      </w:pPr>
      <w:r>
        <w:t xml:space="preserve">5.2 Phase 2 — Demeter Server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12121"/>
          <w:sz w:val="22"/>
          <w:szCs w:val="22"/>
        </w:rPr>
        <w:t xml:space="preserve">Goal: </w:t>
      </w:r>
      <w:r>
        <w:rPr>
          <w:rFonts w:ascii="Arial" w:cs="Arial" w:eastAsia="Arial" w:hAnsi="Arial"/>
          <w:color w:val="212121"/>
          <w:sz w:val="22"/>
          <w:szCs w:val="22"/>
        </w:rPr>
        <w:t xml:space="preserve">Server collecting sensor data via CoAP Observe and serving a dashboard with Prometheus metrics.</w:t>
      </w:r>
    </w:p>
    <w:p>
      <w:pPr>
        <w:pStyle w:val="ListParagraph"/>
        <w:numPr>
          <w:ilvl w:val="0"/>
          <w:numId w:val="7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Build aiocoap-based observer client that registers Observe on configured ESP resources</w:t>
      </w:r>
    </w:p>
    <w:p>
      <w:pPr>
        <w:pStyle w:val="ListParagraph"/>
        <w:numPr>
          <w:ilvl w:val="0"/>
          <w:numId w:val="7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Create FastAPI application with REST API endpoints and a simple HTML dashboard</w:t>
      </w:r>
    </w:p>
    <w:p>
      <w:pPr>
        <w:pStyle w:val="ListParagraph"/>
        <w:numPr>
          <w:ilvl w:val="0"/>
          <w:numId w:val="7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Expose /metrics endpoint with prometheus_client gauges for each sensor reading</w:t>
      </w:r>
    </w:p>
    <w:p>
      <w:pPr>
        <w:pStyle w:val="ListParagraph"/>
        <w:numPr>
          <w:ilvl w:val="0"/>
          <w:numId w:val="7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Integrate python-logging-loki for structured log shipping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12121"/>
          <w:sz w:val="22"/>
          <w:szCs w:val="22"/>
        </w:rPr>
        <w:t xml:space="preserve">Deliverables: </w:t>
      </w:r>
      <w:r>
        <w:rPr>
          <w:rFonts w:ascii="Arial" w:cs="Arial" w:eastAsia="Arial" w:hAnsi="Arial"/>
          <w:color w:val="212121"/>
          <w:sz w:val="22"/>
          <w:szCs w:val="22"/>
        </w:rPr>
        <w:t xml:space="preserve">Demeter server application, device configuration schema, API documentation.</w:t>
      </w:r>
    </w:p>
    <w:p>
      <w:pPr>
        <w:pStyle w:val="Heading2"/>
      </w:pPr>
      <w:r>
        <w:t xml:space="preserve">5.3 Phase 3 — Observability Stack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12121"/>
          <w:sz w:val="22"/>
          <w:szCs w:val="22"/>
        </w:rPr>
        <w:t xml:space="preserve">Goal: </w:t>
      </w:r>
      <w:r>
        <w:rPr>
          <w:rFonts w:ascii="Arial" w:cs="Arial" w:eastAsia="Arial" w:hAnsi="Arial"/>
          <w:color w:val="212121"/>
          <w:sz w:val="22"/>
          <w:szCs w:val="22"/>
        </w:rPr>
        <w:t xml:space="preserve">Full monitoring pipeline with alerting and visualization.</w:t>
      </w:r>
    </w:p>
    <w:p>
      <w:pPr>
        <w:pStyle w:val="ListParagraph"/>
        <w:numPr>
          <w:ilvl w:val="0"/>
          <w:numId w:val="8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Deploy Prometheus with scrape configuration targeting Demeter /metrics</w:t>
      </w:r>
    </w:p>
    <w:p>
      <w:pPr>
        <w:pStyle w:val="ListParagraph"/>
        <w:numPr>
          <w:ilvl w:val="0"/>
          <w:numId w:val="8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Configure AlertManager rules for soil moisture, temperature, and device heartbeat thresholds with email routing</w:t>
      </w:r>
    </w:p>
    <w:p>
      <w:pPr>
        <w:pStyle w:val="ListParagraph"/>
        <w:numPr>
          <w:ilvl w:val="0"/>
          <w:numId w:val="8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Build Grafana dashboards: device overview, per-sensor time series, alert status panel</w:t>
      </w:r>
    </w:p>
    <w:p>
      <w:pPr>
        <w:pStyle w:val="ListParagraph"/>
        <w:numPr>
          <w:ilvl w:val="0"/>
          <w:numId w:val="8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Wire Loki as Grafana data source for log exploration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12121"/>
          <w:sz w:val="22"/>
          <w:szCs w:val="22"/>
        </w:rPr>
        <w:t xml:space="preserve">Deliverables: </w:t>
      </w:r>
      <w:r>
        <w:rPr>
          <w:rFonts w:ascii="Arial" w:cs="Arial" w:eastAsia="Arial" w:hAnsi="Arial"/>
          <w:color w:val="212121"/>
          <w:sz w:val="22"/>
          <w:szCs w:val="22"/>
        </w:rPr>
        <w:t xml:space="preserve">Docker Compose stack (Prometheus, AlertManager, Grafana, Loki), alert rules, dashboards.</w:t>
      </w:r>
    </w:p>
    <w:p>
      <w:r>
        <w:br w:type="page"/>
      </w:r>
    </w:p>
    <w:p>
      <w:pPr>
        <w:pStyle w:val="Heading1"/>
      </w:pPr>
      <w:r>
        <w:t xml:space="preserve">6. Network &amp; Security</w:t>
      </w:r>
    </w:p>
    <w:p>
      <w:pPr>
        <w:pStyle w:val="Heading2"/>
      </w:pPr>
      <w:r>
        <w:t xml:space="preserve">6.1 POC Network Topology</w:t>
      </w:r>
    </w:p>
    <w:p>
      <w:pPr>
        <w:spacing w:after="12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All components operate on a single encrypted WiFi LAN (WPA2/WPA3). The network is assumed trusted for the proof of concept.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1600"/>
        <w:gridCol w:w="2000"/>
        <w:gridCol w:w="2960"/>
      </w:tblGrid>
      <w:tr>
        <w:tc>
          <w:tcPr>
            <w:tcW w:type="dxa" w:w="2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Component</w:t>
            </w:r>
          </w:p>
        </w:tc>
        <w:tc>
          <w:tcPr>
            <w:tcW w:type="dxa" w:w="16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Port</w:t>
            </w:r>
          </w:p>
        </w:tc>
        <w:tc>
          <w:tcPr>
            <w:tcW w:type="dxa" w:w="2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Protocol</w:t>
            </w:r>
          </w:p>
        </w:tc>
        <w:tc>
          <w:tcPr>
            <w:tcW w:type="dxa" w:w="29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Direction</w:t>
            </w:r>
          </w:p>
        </w:tc>
      </w:tr>
      <w:tr>
        <w:tc>
          <w:tcPr>
            <w:tcW w:type="dxa" w:w="2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ESP Sensor Nodes</w:t>
            </w:r>
          </w:p>
        </w:tc>
        <w:tc>
          <w:tcPr>
            <w:tcW w:type="dxa" w:w="16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5683/udp</w:t>
            </w:r>
          </w:p>
        </w:tc>
        <w:tc>
          <w:tcPr>
            <w:tcW w:type="dxa" w:w="2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CoAP</w:t>
            </w:r>
          </w:p>
        </w:tc>
        <w:tc>
          <w:tcPr>
            <w:tcW w:type="dxa" w:w="29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Server (inbound from Demeter)</w:t>
            </w:r>
          </w:p>
        </w:tc>
      </w:tr>
      <w:tr>
        <w:tc>
          <w:tcPr>
            <w:tcW w:type="dxa" w:w="2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Demeter Server</w:t>
            </w:r>
          </w:p>
        </w:tc>
        <w:tc>
          <w:tcPr>
            <w:tcW w:type="dxa" w:w="16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8000/tcp</w:t>
            </w:r>
          </w:p>
        </w:tc>
        <w:tc>
          <w:tcPr>
            <w:tcW w:type="dxa" w:w="2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HTTP (FastAPI)</w:t>
            </w:r>
          </w:p>
        </w:tc>
        <w:tc>
          <w:tcPr>
            <w:tcW w:type="dxa" w:w="29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Inbound from browser/Grafana</w:t>
            </w:r>
          </w:p>
        </w:tc>
      </w:tr>
      <w:tr>
        <w:tc>
          <w:tcPr>
            <w:tcW w:type="dxa" w:w="2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Prometheus</w:t>
            </w:r>
          </w:p>
        </w:tc>
        <w:tc>
          <w:tcPr>
            <w:tcW w:type="dxa" w:w="16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9090/tcp</w:t>
            </w:r>
          </w:p>
        </w:tc>
        <w:tc>
          <w:tcPr>
            <w:tcW w:type="dxa" w:w="2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HTTP</w:t>
            </w:r>
          </w:p>
        </w:tc>
        <w:tc>
          <w:tcPr>
            <w:tcW w:type="dxa" w:w="29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Scrapes Demeter /metrics</w:t>
            </w:r>
          </w:p>
        </w:tc>
      </w:tr>
      <w:tr>
        <w:tc>
          <w:tcPr>
            <w:tcW w:type="dxa" w:w="2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Grafana</w:t>
            </w:r>
          </w:p>
        </w:tc>
        <w:tc>
          <w:tcPr>
            <w:tcW w:type="dxa" w:w="16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3000/tcp</w:t>
            </w:r>
          </w:p>
        </w:tc>
        <w:tc>
          <w:tcPr>
            <w:tcW w:type="dxa" w:w="2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HTTP</w:t>
            </w:r>
          </w:p>
        </w:tc>
        <w:tc>
          <w:tcPr>
            <w:tcW w:type="dxa" w:w="29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Queries Prometheus &amp; Loki</w:t>
            </w:r>
          </w:p>
        </w:tc>
      </w:tr>
      <w:tr>
        <w:tc>
          <w:tcPr>
            <w:tcW w:type="dxa" w:w="2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Loki</w:t>
            </w:r>
          </w:p>
        </w:tc>
        <w:tc>
          <w:tcPr>
            <w:tcW w:type="dxa" w:w="16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3100/tcp</w:t>
            </w:r>
          </w:p>
        </w:tc>
        <w:tc>
          <w:tcPr>
            <w:tcW w:type="dxa" w:w="2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HTTP</w:t>
            </w:r>
          </w:p>
        </w:tc>
        <w:tc>
          <w:tcPr>
            <w:tcW w:type="dxa" w:w="29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Receives logs from Demeter</w:t>
            </w:r>
          </w:p>
        </w:tc>
      </w:tr>
      <w:tr>
        <w:tc>
          <w:tcPr>
            <w:tcW w:type="dxa" w:w="28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AlertManager</w:t>
            </w:r>
          </w:p>
        </w:tc>
        <w:tc>
          <w:tcPr>
            <w:tcW w:type="dxa" w:w="16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9093/tcp</w:t>
            </w:r>
          </w:p>
        </w:tc>
        <w:tc>
          <w:tcPr>
            <w:tcW w:type="dxa" w:w="2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HTTP</w:t>
            </w:r>
          </w:p>
        </w:tc>
        <w:tc>
          <w:tcPr>
            <w:tcW w:type="dxa" w:w="29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Receives alerts from Prometheus</w:t>
            </w:r>
          </w:p>
        </w:tc>
      </w:tr>
    </w:tbl>
    <w:p>
      <w:pPr>
        <w:spacing w:after="160"/>
      </w:pPr>
    </w:p>
    <w:p>
      <w:pPr>
        <w:pStyle w:val="Heading2"/>
      </w:pPr>
      <w:r>
        <w:t xml:space="preserve">6.2 Post-POC Security Roadmap</w:t>
      </w:r>
    </w:p>
    <w:p>
      <w:pPr>
        <w:pStyle w:val="ListParagraph"/>
        <w:numPr>
          <w:ilvl w:val="0"/>
          <w:numId w:val="9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DTLS 1.2 encryption for CoAP communication (RFC 6347) using pre-shared keys initially</w:t>
      </w:r>
    </w:p>
    <w:p>
      <w:pPr>
        <w:pStyle w:val="ListParagraph"/>
        <w:numPr>
          <w:ilvl w:val="0"/>
          <w:numId w:val="9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Device authentication via CoAP token or DTLS client certificates</w:t>
      </w:r>
    </w:p>
    <w:p>
      <w:pPr>
        <w:pStyle w:val="ListParagraph"/>
        <w:numPr>
          <w:ilvl w:val="0"/>
          <w:numId w:val="9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HTTPS for all HTTP endpoints (FastAPI, Prometheus, Grafana)</w:t>
      </w:r>
    </w:p>
    <w:p>
      <w:pPr>
        <w:pStyle w:val="ListParagraph"/>
        <w:numPr>
          <w:ilvl w:val="0"/>
          <w:numId w:val="9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Network segmentation: IoT VLAN for sensor devices, management VLAN for server components</w:t>
      </w:r>
    </w:p>
    <w:p>
      <w:r>
        <w:br w:type="page"/>
      </w:r>
    </w:p>
    <w:p>
      <w:pPr>
        <w:pStyle w:val="Heading1"/>
      </w:pPr>
      <w:r>
        <w:t xml:space="preserve">7. Technology Stack Summary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000"/>
        <w:gridCol w:w="4160"/>
      </w:tblGrid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Layer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Technology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MCU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ESP8266 / ESP32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ESP32 preferred for ADC quality and deep sleep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MCU Runtime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MicroPython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Rapid prototyping, OTA update friendly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CoAP (MCU)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microCoAPy (extended)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Fork with Observe support added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CoAP (Server)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aiocoap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Mature async CoAP with native Observe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HTTP API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FastAPI + Uvicorn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Async HTTP, auto-generated OpenAPI docs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Metrics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Prometheus + prometheus_client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Time-series storage and scraping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Alerting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AlertManager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Threshold alerts with email routing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Visualization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Grafana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Dashboards for Prometheus and Loki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Logging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Loki + python-logging-loki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Lightweight log aggregation</w:t>
            </w:r>
          </w:p>
        </w:tc>
      </w:tr>
      <w:tr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Transport</w:t>
            </w:r>
          </w:p>
        </w:tc>
        <w:tc>
          <w:tcPr>
            <w:tcW w:type="dxa" w:w="30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WiFi (WPA2/WPA3)</w:t>
            </w:r>
          </w:p>
        </w:tc>
        <w:tc>
          <w:tcPr>
            <w:tcW w:type="dxa" w:w="41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LAN only for POC; DTLS post-POC</w:t>
            </w:r>
          </w:p>
        </w:tc>
      </w:tr>
    </w:tbl>
    <w:p>
      <w:pPr>
        <w:spacing w:after="200"/>
      </w:pPr>
    </w:p>
    <w:p>
      <w:pPr>
        <w:pStyle w:val="Heading1"/>
      </w:pPr>
      <w:r>
        <w:t xml:space="preserve">8. Risks &amp; Mitigations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2200"/>
        <w:gridCol w:w="2200"/>
        <w:gridCol w:w="2360"/>
      </w:tblGrid>
      <w:tr>
        <w:tc>
          <w:tcPr>
            <w:tcW w:type="dxa" w:w="26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Risk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Impact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Likelihood</w:t>
            </w:r>
          </w:p>
        </w:tc>
        <w:tc>
          <w:tcPr>
            <w:tcW w:type="dxa" w:w="23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1B5E2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Mitigation</w:t>
            </w:r>
          </w:p>
        </w:tc>
      </w:tr>
      <w:tr>
        <w:tc>
          <w:tcPr>
            <w:tcW w:type="dxa" w:w="26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UDP packet loss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Missed readings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Low (LAN)</w:t>
            </w:r>
          </w:p>
        </w:tc>
        <w:tc>
          <w:tcPr>
            <w:tcW w:type="dxa" w:w="23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CON messages for critical data; heartbeat monitoring</w:t>
            </w:r>
          </w:p>
        </w:tc>
      </w:tr>
      <w:tr>
        <w:tc>
          <w:tcPr>
            <w:tcW w:type="dxa" w:w="26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ESP memory constraints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Observer limit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Medium</w:t>
            </w:r>
          </w:p>
        </w:tc>
        <w:tc>
          <w:tcPr>
            <w:tcW w:type="dxa" w:w="23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Cap observers at 4; compact data structures</w:t>
            </w:r>
          </w:p>
        </w:tc>
      </w:tr>
      <w:tr>
        <w:tc>
          <w:tcPr>
            <w:tcW w:type="dxa" w:w="26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WiFi reconnection delays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Data gaps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Medium</w:t>
            </w:r>
          </w:p>
        </w:tc>
        <w:tc>
          <w:tcPr>
            <w:tcW w:type="dxa" w:w="23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Auto-reconnect with exponential backoff; local buffering</w:t>
            </w:r>
          </w:p>
        </w:tc>
      </w:tr>
      <w:tr>
        <w:tc>
          <w:tcPr>
            <w:tcW w:type="dxa" w:w="26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No encryption (POC)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Data exposure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Low (LAN)</w:t>
            </w:r>
          </w:p>
        </w:tc>
        <w:tc>
          <w:tcPr>
            <w:tcW w:type="dxa" w:w="23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shd w:fill="F1F8E9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DTLS planned for post-POC; WPA2 provides link-layer encryption</w:t>
            </w:r>
          </w:p>
        </w:tc>
      </w:tr>
      <w:tr>
        <w:tc>
          <w:tcPr>
            <w:tcW w:type="dxa" w:w="26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Battery drain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Frequent recharging</w:t>
            </w:r>
          </w:p>
        </w:tc>
        <w:tc>
          <w:tcPr>
            <w:tcW w:type="dxa" w:w="220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Medium</w:t>
            </w:r>
          </w:p>
        </w:tc>
        <w:tc>
          <w:tcPr>
            <w:tcW w:type="dxa" w:w="2360"/>
            <w:tcBorders>
              <w:top w:val="single" w:color="C8E6C9" w:sz="1"/>
              <w:left w:val="single" w:color="C8E6C9" w:sz="1"/>
              <w:bottom w:val="single" w:color="C8E6C9" w:sz="1"/>
              <w:right w:val="single" w:color="C8E6C9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12121"/>
                <w:sz w:val="20"/>
                <w:szCs w:val="20"/>
              </w:rPr>
              <w:t xml:space="preserve">Deep sleep; NON messages; configurable intervals</w:t>
            </w:r>
          </w:p>
        </w:tc>
      </w:tr>
    </w:tbl>
    <w:p>
      <w:pPr>
        <w:spacing w:after="200"/>
      </w:pPr>
    </w:p>
    <w:p>
      <w:pPr>
        <w:pStyle w:val="Heading1"/>
      </w:pPr>
      <w:r>
        <w:t xml:space="preserve">9. Future Enhancements</w:t>
      </w:r>
    </w:p>
    <w:p>
      <w:pPr>
        <w:pStyle w:val="ListParagraph"/>
        <w:numPr>
          <w:ilvl w:val="0"/>
          <w:numId w:val="10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CoAP Block-wise Transfer (RFC 7959) for firmware OTA updates over CoAP</w:t>
      </w:r>
    </w:p>
    <w:p>
      <w:pPr>
        <w:pStyle w:val="ListParagraph"/>
        <w:numPr>
          <w:ilvl w:val="0"/>
          <w:numId w:val="10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CoAP Resource Discovery (RFC 6690) with /.well-known/core for automatic device enrollment</w:t>
      </w:r>
    </w:p>
    <w:p>
      <w:pPr>
        <w:pStyle w:val="ListParagraph"/>
        <w:numPr>
          <w:ilvl w:val="0"/>
          <w:numId w:val="10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DTLS 1.2 encryption with pre-shared keys, progressing to certificate-based authentication</w:t>
      </w:r>
    </w:p>
    <w:p>
      <w:pPr>
        <w:pStyle w:val="ListParagraph"/>
        <w:numPr>
          <w:ilvl w:val="0"/>
          <w:numId w:val="10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Multi-gateway support for larger deployments across multiple LAN segments</w:t>
      </w:r>
    </w:p>
    <w:p>
      <w:pPr>
        <w:pStyle w:val="ListParagraph"/>
        <w:numPr>
          <w:ilvl w:val="0"/>
          <w:numId w:val="10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Time-series database (InfluxDB or TimescaleDB) replacing Prometheus for high-cardinality long-term storage</w:t>
      </w:r>
    </w:p>
    <w:p>
      <w:pPr>
        <w:pStyle w:val="ListParagraph"/>
        <w:numPr>
          <w:ilvl w:val="0"/>
          <w:numId w:val="10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Mobile push notifications via AlertManager webhooks to Pushover or ntfy.sh</w:t>
      </w:r>
    </w:p>
    <w:p>
      <w:pPr>
        <w:pStyle w:val="ListParagraph"/>
        <w:numPr>
          <w:ilvl w:val="0"/>
          <w:numId w:val="10"/>
        </w:numPr>
        <w:spacing w:after="60"/>
      </w:pPr>
      <w:r>
        <w:rPr>
          <w:rFonts w:ascii="Arial" w:cs="Arial" w:eastAsia="Arial" w:hAnsi="Arial"/>
          <w:color w:val="212121"/>
          <w:sz w:val="22"/>
          <w:szCs w:val="22"/>
        </w:rPr>
        <w:t xml:space="preserve">Actuator control: CoAP PUT to ESP resources for relay switching (pumps, heaters, lights)</w:t>
      </w:r>
    </w:p>
    <w:sectPr>
      <w:headerReference w:type="default" r:id="rId7"/>
      <w:footerReference w:type="default" r:id="rId8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8E6C9" w:sz="4" w:space="1"/>
      </w:pBdr>
      <w:jc w:val="right"/>
    </w:pPr>
    <w:r>
      <w:rPr>
        <w:rFonts w:ascii="Arial" w:cs="Arial" w:eastAsia="Arial" w:hAnsi="Arial"/>
        <w:color w:val="616161"/>
        <w:sz w:val="18"/>
        <w:szCs w:val="18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4CAF50" w:sz="4" w:space="1"/>
      </w:pBdr>
    </w:pPr>
    <w:r>
      <w:rPr>
        <w:rFonts w:ascii="Arial" w:cs="Arial" w:eastAsia="Arial" w:hAnsi="Arial"/>
        <w:i/>
        <w:iCs/>
        <w:color w:val="616161"/>
        <w:sz w:val="18"/>
        <w:szCs w:val="18"/>
      </w:rPr>
      <w:t xml:space="preserve">Demeter Architecture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5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6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7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8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1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1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  <w:num w:numId="5">
    <w:abstractNumId w:val="5"/>
    <w:lvlOverride w:ilvl="0">
      <w:startOverride w:val="1"/>
    </w:lvlOverride>
  </w:num>
  <w:num w:numId="6">
    <w:abstractNumId w:val="9"/>
    <w:lvlOverride w:ilvl="0">
      <w:startOverride w:val="1"/>
    </w:lvlOverride>
  </w:num>
  <w:num w:numId="7">
    <w:abstractNumId w:val="10"/>
    <w:lvlOverride w:ilvl="0">
      <w:startOverride w:val="1"/>
    </w:lvlOverride>
  </w:num>
  <w:num w:numId="8">
    <w:abstractNumId w:val="11"/>
    <w:lvlOverride w:ilvl="0">
      <w:startOverride w:val="1"/>
    </w:lvlOverride>
  </w:num>
  <w:num w:numId="9">
    <w:abstractNumId w:val="6"/>
    <w:lvlOverride w:ilvl="0">
      <w:startOverride w:val="1"/>
    </w:lvlOverride>
  </w:num>
  <w:num w:numId="10">
    <w:abstractNumId w:val="7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360"/>
      <w:outlineLvl w:val="0"/>
    </w:pPr>
    <w:rPr>
      <w:rFonts w:ascii="Arial" w:cs="Arial" w:eastAsia="Arial" w:hAnsi="Arial"/>
      <w:b/>
      <w:bCs/>
      <w:color w:val="1B5E20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240"/>
      <w:outlineLvl w:val="1"/>
    </w:pPr>
    <w:rPr>
      <w:rFonts w:ascii="Arial" w:cs="Arial" w:eastAsia="Arial" w:hAnsi="Arial"/>
      <w:b/>
      <w:bCs/>
      <w:color w:val="2E7D32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Arial" w:cs="Arial" w:eastAsia="Arial" w:hAnsi="Arial"/>
      <w:b/>
      <w:bCs/>
      <w:color w:val="4CAF50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2026-03-07T10:15:51.328Z</dcterms:created>
  <dcterms:modified xsi:type="dcterms:W3CDTF">2026-03-07T10:15:51.329Z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